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10940" w:type="dxa"/>
        <w:jc w:val="left"/>
        <w:tblInd w:w="-7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8695"/>
      </w:tblGrid>
      <w:tr>
        <w:trPr>
          <w:trHeight w:val="479" w:hRule="atLeast"/>
        </w:trPr>
        <w:tc>
          <w:tcPr>
            <w:tcW w:w="10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Measure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350" w:hRule="atLeast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Domain: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PTSD</w:t>
            </w:r>
          </w:p>
        </w:tc>
      </w:tr>
      <w:tr>
        <w:trPr>
          <w:trHeight w:val="269" w:hRule="atLeast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Measure: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Military Deployment Risk and Resilience</w:t>
            </w:r>
          </w:p>
        </w:tc>
      </w:tr>
      <w:tr>
        <w:trPr>
          <w:trHeight w:val="341" w:hRule="atLeast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Definition: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A questionnaire to assess key deployment-related risk and resilience factors. 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108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8616"/>
      </w:tblGrid>
      <w:tr>
        <w:trPr>
          <w:trHeight w:val="420" w:hRule="atLeast"/>
        </w:trPr>
        <w:tc>
          <w:tcPr>
            <w:tcW w:w="10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525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Protocol:</w:t>
              <w:br/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54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Deployment Risk and Resiliency Inventory-2 (DRRI-2) is a suite of 17 individual scales that assess key deployment-related risk and resilience factors with demonstrated implications for veterans' postdeployment health. Items are rated on Likert-style scales and added together to give a score for each scale.</w:t>
            </w:r>
          </w:p>
        </w:tc>
      </w:tr>
      <w:tr>
        <w:trPr>
          <w:trHeight w:val="323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Text: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 xml:space="preserve">Summary of the DRRI-2: 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Deployment Risk and Resiliency Inventory-2 (DRRI-2) is a suite of 17 individual scales that assess key deployment-related risk and resilience factors grouped into Pre-deployment Factors, Deployment Factors, and Post-deployment Factors.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rPr/>
            </w:pPr>
            <w:r>
              <w:rPr>
                <w:rFonts w:cs="Arial" w:ascii="Arial" w:hAnsi="Arial"/>
                <w:sz w:val="22"/>
                <w:szCs w:val="22"/>
                <w:u w:val="single"/>
              </w:rPr>
              <w:t>Pre-deployment Factors</w:t>
            </w:r>
          </w:p>
          <w:p>
            <w:pPr>
              <w:pStyle w:val="Normal"/>
              <w:numPr>
                <w:ilvl w:val="0"/>
                <w:numId w:val="2"/>
              </w:numPr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Prior Stressors</w:t>
            </w:r>
          </w:p>
          <w:p>
            <w:pPr>
              <w:pStyle w:val="Normal"/>
              <w:numPr>
                <w:ilvl w:val="0"/>
                <w:numId w:val="2"/>
              </w:numPr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Childhood Family Functioning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sz w:val="22"/>
                <w:szCs w:val="22"/>
                <w:u w:val="single"/>
              </w:rPr>
              <w:t xml:space="preserve">Deployment Factors 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Difficult Living and Working Environment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Combat Experiences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Aftermath of Battle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/>
            </w:pPr>
            <w:r>
              <w:rPr>
                <w:rFonts w:cs="Arial" w:ascii="Arial" w:hAnsi="Arial"/>
                <w:sz w:val="22"/>
                <w:szCs w:val="22"/>
              </w:rPr>
              <w:t>Nuclear, Biological, and Chemical Exposures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Perceived Threat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Preparedness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Deployment Support from Family and Friends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Unit Social Support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General Harassment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Sexual Harassment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Concerns about Life and Family Disruptions</w:t>
            </w:r>
          </w:p>
          <w:p>
            <w:pPr>
              <w:pStyle w:val="Normal"/>
              <w:numPr>
                <w:ilvl w:val="0"/>
                <w:numId w:val="1"/>
              </w:numPr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Family Stressors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autoSpaceDE w:val="false"/>
              <w:rPr/>
            </w:pPr>
            <w:r>
              <w:rPr>
                <w:rFonts w:cs="Arial" w:ascii="Arial" w:hAnsi="Arial"/>
                <w:sz w:val="22"/>
                <w:szCs w:val="22"/>
                <w:u w:val="single"/>
              </w:rPr>
              <w:t>Post-deployment Factors</w:t>
            </w:r>
          </w:p>
          <w:p>
            <w:pPr>
              <w:pStyle w:val="Normal"/>
              <w:numPr>
                <w:ilvl w:val="0"/>
                <w:numId w:val="3"/>
              </w:numPr>
              <w:autoSpaceDE w:val="false"/>
              <w:rPr/>
            </w:pPr>
            <w:r>
              <w:rPr>
                <w:rFonts w:cs="Arial" w:ascii="Arial" w:hAnsi="Arial"/>
                <w:sz w:val="22"/>
                <w:szCs w:val="22"/>
              </w:rPr>
              <w:t>Post-deployment Stressors</w:t>
            </w:r>
          </w:p>
          <w:p>
            <w:pPr>
              <w:pStyle w:val="Normal"/>
              <w:numPr>
                <w:ilvl w:val="0"/>
                <w:numId w:val="3"/>
              </w:numPr>
              <w:autoSpaceDE w:val="false"/>
              <w:rPr/>
            </w:pPr>
            <w:r>
              <w:rPr>
                <w:rFonts w:cs="Arial" w:ascii="Arial" w:hAnsi="Arial"/>
                <w:sz w:val="22"/>
                <w:szCs w:val="22"/>
              </w:rPr>
              <w:t>Post-deployment Social Support</w:t>
            </w:r>
          </w:p>
          <w:p>
            <w:pPr>
              <w:pStyle w:val="Normal"/>
              <w:numPr>
                <w:ilvl w:val="0"/>
                <w:numId w:val="3"/>
              </w:numPr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Post-deployment Family Functioning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sz w:val="22"/>
                <w:szCs w:val="22"/>
                <w:u w:val="single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u w:val="single"/>
              </w:rPr>
              <w:t>Availability: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The Deployment Risk and Resilience Inventory-2 (DRRI-2) is available for download from the National Center for PTSD at </w:t>
            </w:r>
            <w:hyperlink r:id="rId2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www.ptsd.va.gov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>.</w:t>
            </w:r>
          </w:p>
        </w:tc>
      </w:tr>
      <w:tr>
        <w:trPr>
          <w:trHeight w:val="359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Participant: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Adults, ages 18 and older.</w:t>
            </w:r>
          </w:p>
        </w:tc>
      </w:tr>
      <w:tr>
        <w:trPr>
          <w:trHeight w:val="350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Source: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Vogt, D. S., Smith, B. N., King, L. A., King, D. W., Knight, J. A., &amp; Vasterling, J. J. (2013). Deployment Risk and Resilience Inventory-2 (DRRI-2): An updated tool for assessing psychosocial risk and resilience factors among service members and veterans (PDF). </w:t>
            </w:r>
            <w:r>
              <w:rPr>
                <w:rFonts w:cs="Arial" w:ascii="Arial" w:hAnsi="Arial"/>
                <w:i/>
                <w:sz w:val="22"/>
                <w:szCs w:val="22"/>
              </w:rPr>
              <w:t>Journal of Traumatic Stress, 26,</w:t>
            </w:r>
            <w:r>
              <w:rPr>
                <w:rFonts w:cs="Arial" w:ascii="Arial" w:hAnsi="Arial"/>
                <w:sz w:val="22"/>
                <w:szCs w:val="22"/>
              </w:rPr>
              <w:t xml:space="preserve"> 710–717. Instrument available from the National Center for PTSD at </w:t>
            </w:r>
            <w:hyperlink r:id="rId3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www.ptsd.va.gov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. </w:t>
            </w:r>
          </w:p>
        </w:tc>
      </w:tr>
      <w:tr>
        <w:trPr>
          <w:trHeight w:val="557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Personnel and Training Required: 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>
          <w:trHeight w:val="350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Needs: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>
          <w:trHeight w:val="521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General References: 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King, L. A., King, D. W., Vogt, D. S., Knight, J. A., &amp; Samper, R. E. (2006). Deployment risk and resilience inventory: A collection of measures for studying deployment-related experiences of military personnel and veterans. </w:t>
            </w:r>
            <w:r>
              <w:rPr>
                <w:rFonts w:cs="Arial" w:ascii="Arial" w:hAnsi="Arial"/>
                <w:i/>
                <w:sz w:val="22"/>
                <w:szCs w:val="22"/>
              </w:rPr>
              <w:t xml:space="preserve">Military Psychology, 18, </w:t>
            </w:r>
            <w:r>
              <w:rPr>
                <w:rFonts w:cs="Arial" w:ascii="Arial" w:hAnsi="Arial"/>
                <w:sz w:val="22"/>
                <w:szCs w:val="22"/>
              </w:rPr>
              <w:t>89–120.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Kaloupek, D. G., Chard, K. M., Freed, M. C., Peterson, A. L., Riggs, D. S., Stein, M. B., &amp; Tuma, F. (2010). Common data elements for posttraumatic stress disorder research. </w:t>
            </w:r>
            <w:r>
              <w:rPr>
                <w:rFonts w:cs="Arial" w:ascii="Arial" w:hAnsi="Arial"/>
                <w:i/>
                <w:sz w:val="22"/>
                <w:szCs w:val="22"/>
              </w:rPr>
              <w:t>Archives of Physical Medicine and Rehabilitation, 91</w:t>
            </w:r>
            <w:r>
              <w:rPr>
                <w:rFonts w:cs="Arial" w:ascii="Arial" w:hAnsi="Arial"/>
                <w:sz w:val="22"/>
                <w:szCs w:val="22"/>
              </w:rPr>
              <w:t>(11), 1684–1691.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Vogt, D., Smith, B. N., King, D. W., &amp; King, L. A. (2012). Manual for the Deployment Risk and Resilience Inventory-2 (DRRI-2): A collection of measures for studying deployment-related experiences of military veterans. Boston, MA: National Center for PTSD. Available from the National Center for PTSD at </w:t>
            </w:r>
            <w:hyperlink r:id="rId4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www.ptsd.va.gov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.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Vogt, D. S., Proctor, S. P., King, D. W., King, L. A., &amp; Vasterling, J. J. (2008). Validation of scales from the Deployment Risk and Resilience Inventory in a sample of Operation Iraqi Freedom veterans. </w:t>
            </w:r>
            <w:r>
              <w:rPr>
                <w:rFonts w:cs="Arial" w:ascii="Arial" w:hAnsi="Arial"/>
                <w:i/>
                <w:sz w:val="22"/>
                <w:szCs w:val="22"/>
              </w:rPr>
              <w:t>Assessment, 15</w:t>
            </w:r>
            <w:r>
              <w:rPr>
                <w:rFonts w:cs="Arial" w:ascii="Arial" w:hAnsi="Arial"/>
                <w:sz w:val="22"/>
                <w:szCs w:val="22"/>
              </w:rPr>
              <w:t>(4), 391–403.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default" r:id="rId5"/>
      <w:footerReference w:type="default" r:id="rId6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cs="Arial" w:ascii="Arial" w:hAnsi="Arial"/>
        <w:sz w:val="18"/>
        <w:szCs w:val="18"/>
      </w:rPr>
      <w:t>Version 10 – 10/21/09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sz w:val="20"/>
        <w:szCs w:val="20"/>
        <w:u w:val="single"/>
      </w:rPr>
    </w:pPr>
    <w:r>
      <w:rPr>
        <w:rFonts w:cs="Arial" w:ascii="Arial" w:hAnsi="Arial"/>
        <w:sz w:val="20"/>
        <w:szCs w:val="20"/>
        <w:u w:val="single"/>
      </w:rPr>
      <w:t>DRRI-2 for Supplemental Information</w:t>
    </w:r>
  </w:p>
  <w:p>
    <w:pPr>
      <w:pStyle w:val="Normal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Date of MHRP final approval:</w:t>
    </w:r>
  </w:p>
  <w:p>
    <w:pPr>
      <w:pStyle w:val="Normal"/>
      <w:jc w:val="both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Date of SC final approval: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  <w:b/>
      <w:bCs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b w:val="false"/>
      <w:bCs w:val="false"/>
    </w:rPr>
  </w:style>
  <w:style w:type="character" w:styleId="WW8Num17z0">
    <w:name w:val="WW8Num17z0"/>
    <w:qFormat/>
    <w:rPr>
      <w:rFonts w:ascii="Symbol" w:hAnsi="Symbol" w:cs="Symbol"/>
      <w:b/>
      <w:bCs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  <w:b/>
      <w:bCs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Whuggins">
    <w:name w:val="whuggins"/>
    <w:qFormat/>
    <w:rPr>
      <w:rFonts w:ascii="Arial" w:hAnsi="Arial" w:cs="Arial"/>
      <w:color w:val="000080"/>
      <w:sz w:val="20"/>
      <w:szCs w:val="20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Trebuchet MS" w:hAnsi="Trebuchet MS" w:cs="Trebuchet MS"/>
      <w:color w:val="444444"/>
      <w:sz w:val="20"/>
      <w:szCs w:val="20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tsd.va.gov/" TargetMode="External"/><Relationship Id="rId3" Type="http://schemas.openxmlformats.org/officeDocument/2006/relationships/hyperlink" Target="http://www.ptsd.va.gov/" TargetMode="External"/><Relationship Id="rId4" Type="http://schemas.openxmlformats.org/officeDocument/2006/relationships/hyperlink" Target="http://www.ptsd.va.gov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2014-10-27T15:46:00Z</dcterms:created>
  <dc:creator>mjp</dc:creator>
  <dc:description/>
  <cp:keywords/>
  <dc:language>en-US</dc:language>
  <cp:lastModifiedBy>Huggins, Wayne</cp:lastModifiedBy>
  <cp:lastPrinted>2010-06-01T10:51:00Z</cp:lastPrinted>
  <dcterms:modified xsi:type="dcterms:W3CDTF">2014-10-27T15:46:00Z</dcterms:modified>
  <cp:revision>2</cp:revision>
  <dc:subject/>
  <dc:title>Birthplace</dc:title>
</cp:coreProperties>
</file>